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47" w:rsidRDefault="00566633" w:rsidP="00554363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7/10 </w:t>
      </w:r>
      <w:r w:rsidR="00554363">
        <w:rPr>
          <w:rFonts w:ascii="Arial" w:hAnsi="Arial" w:cs="Arial"/>
          <w:b/>
          <w:sz w:val="28"/>
          <w:szCs w:val="28"/>
        </w:rPr>
        <w:t xml:space="preserve">AB-14: </w:t>
      </w:r>
      <w:proofErr w:type="spellStart"/>
      <w:r w:rsidR="00554363">
        <w:rPr>
          <w:rFonts w:ascii="Arial" w:hAnsi="Arial" w:cs="Arial"/>
          <w:b/>
          <w:sz w:val="28"/>
          <w:szCs w:val="28"/>
        </w:rPr>
        <w:t>Syndromgruppe</w:t>
      </w:r>
      <w:proofErr w:type="spellEnd"/>
      <w:r w:rsidR="00554363">
        <w:rPr>
          <w:rFonts w:ascii="Arial" w:hAnsi="Arial" w:cs="Arial"/>
          <w:b/>
          <w:sz w:val="28"/>
          <w:szCs w:val="28"/>
        </w:rPr>
        <w:t xml:space="preserve"> „Senken“</w:t>
      </w:r>
    </w:p>
    <w:p w:rsidR="00566633" w:rsidRDefault="00554363" w:rsidP="0055436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566633">
        <w:rPr>
          <w:rFonts w:ascii="Arial" w:hAnsi="Arial" w:cs="Arial"/>
          <w:b/>
          <w:sz w:val="28"/>
          <w:szCs w:val="28"/>
        </w:rPr>
        <w:t xml:space="preserve">        </w:t>
      </w:r>
      <w:r w:rsidRPr="00554363">
        <w:rPr>
          <w:rFonts w:ascii="Arial" w:hAnsi="Arial" w:cs="Arial"/>
          <w:b/>
          <w:sz w:val="28"/>
          <w:szCs w:val="28"/>
        </w:rPr>
        <w:t>Umweltdegradation durch weiträumige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54363">
        <w:rPr>
          <w:rFonts w:ascii="Arial" w:hAnsi="Arial" w:cs="Arial"/>
          <w:b/>
          <w:sz w:val="28"/>
          <w:szCs w:val="28"/>
        </w:rPr>
        <w:t xml:space="preserve">diffuse </w:t>
      </w:r>
      <w:r w:rsidR="00566633">
        <w:rPr>
          <w:rFonts w:ascii="Arial" w:hAnsi="Arial" w:cs="Arial"/>
          <w:b/>
          <w:sz w:val="28"/>
          <w:szCs w:val="28"/>
        </w:rPr>
        <w:t xml:space="preserve"> </w:t>
      </w:r>
    </w:p>
    <w:p w:rsidR="00566633" w:rsidRDefault="00566633" w:rsidP="005666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</w:t>
      </w:r>
      <w:r w:rsidR="00554363" w:rsidRPr="00554363">
        <w:rPr>
          <w:rFonts w:ascii="Arial" w:hAnsi="Arial" w:cs="Arial"/>
          <w:b/>
          <w:sz w:val="28"/>
          <w:szCs w:val="28"/>
        </w:rPr>
        <w:t>Verteilung von meist langlebigen</w:t>
      </w:r>
      <w:r w:rsidR="00554363">
        <w:rPr>
          <w:rFonts w:ascii="Arial" w:hAnsi="Arial" w:cs="Arial"/>
          <w:b/>
          <w:sz w:val="28"/>
          <w:szCs w:val="28"/>
        </w:rPr>
        <w:t xml:space="preserve"> </w:t>
      </w:r>
      <w:r w:rsidR="00554363" w:rsidRPr="00554363">
        <w:rPr>
          <w:rFonts w:ascii="Arial" w:hAnsi="Arial" w:cs="Arial"/>
          <w:b/>
          <w:sz w:val="28"/>
          <w:szCs w:val="28"/>
        </w:rPr>
        <w:t xml:space="preserve">Wirkstoffen: </w:t>
      </w:r>
    </w:p>
    <w:p w:rsidR="00554363" w:rsidRDefault="00566633" w:rsidP="005666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</w:t>
      </w:r>
      <w:r w:rsidR="00554363">
        <w:rPr>
          <w:rFonts w:ascii="Arial" w:hAnsi="Arial" w:cs="Arial"/>
          <w:b/>
          <w:sz w:val="28"/>
          <w:szCs w:val="28"/>
        </w:rPr>
        <w:t>„</w:t>
      </w:r>
      <w:r w:rsidR="00554363" w:rsidRPr="00554363">
        <w:rPr>
          <w:rFonts w:ascii="Arial" w:hAnsi="Arial" w:cs="Arial"/>
          <w:b/>
          <w:sz w:val="28"/>
          <w:szCs w:val="28"/>
        </w:rPr>
        <w:t>Hoher-Schornstein-Syndrom</w:t>
      </w:r>
      <w:r w:rsidR="00554363">
        <w:rPr>
          <w:rFonts w:ascii="Arial" w:hAnsi="Arial" w:cs="Arial"/>
          <w:b/>
          <w:sz w:val="28"/>
          <w:szCs w:val="28"/>
        </w:rPr>
        <w:t>“</w:t>
      </w:r>
    </w:p>
    <w:p w:rsidR="00554363" w:rsidRPr="00554363" w:rsidRDefault="00554363" w:rsidP="0055436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554363" w:rsidRPr="00554363" w:rsidRDefault="00554363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4363">
        <w:rPr>
          <w:rFonts w:ascii="Arial" w:hAnsi="Arial" w:cs="Arial"/>
          <w:sz w:val="24"/>
          <w:szCs w:val="24"/>
        </w:rPr>
        <w:t>Dieses Syndrom beschreibt die Fernwirkung von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stofflichen Emissionen nach Entsorgung in die Umweltmedien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Wasser und Luft. Hintergrund ist hierbei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das Scheitern der Strategie, unerwünschte Stoffe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durch möglichst feine Verteilung in der Umwelt bzw.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durch starke Verdünnung in Umweltmedien (Wasser,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Luft) problemlos zu entsorgen. So werden durch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hohe Schornsteine Luftschadstoffe nicht beseitigt,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sondern das Problem lediglich auf andere, industrieferne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Bereiche verlagert.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Regionen im Einwirkungsbereich urbaner Zentren sind am stärksten betroffen; in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geringerem Umfang wird der ganze Globus erreicht, auch die entlegensten „</w:t>
      </w:r>
      <w:proofErr w:type="spellStart"/>
      <w:r w:rsidR="009D0A30" w:rsidRPr="001B43E5">
        <w:rPr>
          <w:rFonts w:ascii="Arial" w:hAnsi="Arial" w:cs="Arial"/>
          <w:sz w:val="24"/>
          <w:szCs w:val="24"/>
        </w:rPr>
        <w:t>Reinluft</w:t>
      </w:r>
      <w:proofErr w:type="spellEnd"/>
      <w:r w:rsidR="009D0A30">
        <w:rPr>
          <w:rFonts w:ascii="Arial" w:hAnsi="Arial" w:cs="Arial"/>
          <w:sz w:val="24"/>
          <w:szCs w:val="24"/>
        </w:rPr>
        <w:t>-G</w:t>
      </w:r>
      <w:r w:rsidR="009D0A30" w:rsidRPr="001B43E5">
        <w:rPr>
          <w:rFonts w:ascii="Arial" w:hAnsi="Arial" w:cs="Arial"/>
          <w:sz w:val="24"/>
          <w:szCs w:val="24"/>
        </w:rPr>
        <w:t>ebiete“.</w:t>
      </w:r>
    </w:p>
    <w:p w:rsidR="00554363" w:rsidRPr="00554363" w:rsidRDefault="00554363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4363">
        <w:rPr>
          <w:rFonts w:ascii="Arial" w:hAnsi="Arial" w:cs="Arial"/>
          <w:sz w:val="24"/>
          <w:szCs w:val="24"/>
        </w:rPr>
        <w:t>In Abhängigkeit vom Emissionsmuster und physikalisch-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chemischen Verhalten der Stoffe in den Umweltmedien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kommt es zu lokaler (typisch für Staub),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regionaler (typisch für NH</w:t>
      </w:r>
      <w:r w:rsidRPr="00BE5883">
        <w:rPr>
          <w:rFonts w:ascii="Arial" w:hAnsi="Arial" w:cs="Arial"/>
          <w:sz w:val="24"/>
          <w:szCs w:val="24"/>
          <w:vertAlign w:val="subscript"/>
        </w:rPr>
        <w:t>3</w:t>
      </w:r>
      <w:r w:rsidRPr="00554363">
        <w:rPr>
          <w:rFonts w:ascii="Arial" w:hAnsi="Arial" w:cs="Arial"/>
          <w:sz w:val="24"/>
          <w:szCs w:val="24"/>
        </w:rPr>
        <w:t>, SO</w:t>
      </w:r>
      <w:r w:rsidRPr="00BE5883">
        <w:rPr>
          <w:rFonts w:ascii="Arial" w:hAnsi="Arial" w:cs="Arial"/>
          <w:sz w:val="24"/>
          <w:szCs w:val="24"/>
          <w:vertAlign w:val="subscript"/>
        </w:rPr>
        <w:t>2</w:t>
      </w:r>
      <w:r w:rsidRPr="00554363">
        <w:rPr>
          <w:rFonts w:ascii="Arial" w:hAnsi="Arial" w:cs="Arial"/>
          <w:sz w:val="24"/>
          <w:szCs w:val="24"/>
        </w:rPr>
        <w:t xml:space="preserve"> und NO</w:t>
      </w:r>
      <w:r w:rsidRPr="00995B9D">
        <w:rPr>
          <w:rFonts w:ascii="Arial" w:hAnsi="Arial" w:cs="Arial"/>
          <w:sz w:val="24"/>
          <w:szCs w:val="24"/>
          <w:vertAlign w:val="subscript"/>
        </w:rPr>
        <w:t>X</w:t>
      </w:r>
      <w:r w:rsidRPr="00554363">
        <w:rPr>
          <w:rFonts w:ascii="Arial" w:hAnsi="Arial" w:cs="Arial"/>
          <w:sz w:val="24"/>
          <w:szCs w:val="24"/>
        </w:rPr>
        <w:t>) oder globaler</w:t>
      </w:r>
      <w:r w:rsidR="00BE5883">
        <w:rPr>
          <w:rFonts w:ascii="Arial" w:hAnsi="Arial" w:cs="Arial"/>
          <w:sz w:val="24"/>
          <w:szCs w:val="24"/>
        </w:rPr>
        <w:t xml:space="preserve">  </w:t>
      </w:r>
      <w:r w:rsidRPr="00554363">
        <w:rPr>
          <w:rFonts w:ascii="Arial" w:hAnsi="Arial" w:cs="Arial"/>
          <w:sz w:val="24"/>
          <w:szCs w:val="24"/>
        </w:rPr>
        <w:t>Verteilung (typisch für CO</w:t>
      </w:r>
      <w:r w:rsidRPr="00BE5883">
        <w:rPr>
          <w:rFonts w:ascii="Arial" w:hAnsi="Arial" w:cs="Arial"/>
          <w:sz w:val="24"/>
          <w:szCs w:val="24"/>
          <w:vertAlign w:val="subscript"/>
        </w:rPr>
        <w:t>2</w:t>
      </w:r>
      <w:r w:rsidRPr="00554363">
        <w:rPr>
          <w:rFonts w:ascii="Arial" w:hAnsi="Arial" w:cs="Arial"/>
          <w:sz w:val="24"/>
          <w:szCs w:val="24"/>
        </w:rPr>
        <w:t>,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FCKW).Der Ferntransport</w:t>
      </w:r>
      <w:r w:rsidR="00BE5883">
        <w:rPr>
          <w:rFonts w:ascii="Arial" w:hAnsi="Arial" w:cs="Arial"/>
          <w:sz w:val="24"/>
          <w:szCs w:val="24"/>
        </w:rPr>
        <w:t xml:space="preserve">  </w:t>
      </w:r>
      <w:r w:rsidRPr="00554363">
        <w:rPr>
          <w:rFonts w:ascii="Arial" w:hAnsi="Arial" w:cs="Arial"/>
          <w:sz w:val="24"/>
          <w:szCs w:val="24"/>
        </w:rPr>
        <w:t>erfolgt vor allem über den atmosphärischen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Pfad sowie über Fließgewässer. In der Umweltwirkung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ist zu unterscheiden, ob die Schadstoffe</w:t>
      </w:r>
    </w:p>
    <w:p w:rsidR="00554363" w:rsidRPr="00554363" w:rsidRDefault="00554363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4363">
        <w:rPr>
          <w:rFonts w:ascii="Arial" w:hAnsi="Arial" w:cs="Arial"/>
          <w:sz w:val="24"/>
          <w:szCs w:val="24"/>
        </w:rPr>
        <w:t xml:space="preserve">nach Verteilung in der Umwelt </w:t>
      </w:r>
      <w:proofErr w:type="spellStart"/>
      <w:r w:rsidRPr="00554363">
        <w:rPr>
          <w:rFonts w:ascii="Arial" w:hAnsi="Arial" w:cs="Arial"/>
          <w:sz w:val="24"/>
          <w:szCs w:val="24"/>
        </w:rPr>
        <w:t>systemare</w:t>
      </w:r>
      <w:proofErr w:type="spellEnd"/>
      <w:r w:rsidRPr="00554363">
        <w:rPr>
          <w:rFonts w:ascii="Arial" w:hAnsi="Arial" w:cs="Arial"/>
          <w:sz w:val="24"/>
          <w:szCs w:val="24"/>
        </w:rPr>
        <w:t xml:space="preserve"> Effekte zur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Folge haben (z.B. Ozonabbau durch FCKW, verstärkter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Treibhauseffekt durch CO</w:t>
      </w:r>
      <w:r w:rsidRPr="00BE5883">
        <w:rPr>
          <w:rFonts w:ascii="Arial" w:hAnsi="Arial" w:cs="Arial"/>
          <w:sz w:val="24"/>
          <w:szCs w:val="24"/>
          <w:vertAlign w:val="subscript"/>
        </w:rPr>
        <w:t>2</w:t>
      </w:r>
      <w:r w:rsidRPr="00554363">
        <w:rPr>
          <w:rFonts w:ascii="Arial" w:hAnsi="Arial" w:cs="Arial"/>
          <w:sz w:val="24"/>
          <w:szCs w:val="24"/>
        </w:rPr>
        <w:t>) oder ob sie sich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erneut anreichern (Säureanreicherung in Böden infolge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der Emission von NH</w:t>
      </w:r>
      <w:r w:rsidRPr="00BE5883">
        <w:rPr>
          <w:rFonts w:ascii="Arial" w:hAnsi="Arial" w:cs="Arial"/>
          <w:sz w:val="24"/>
          <w:szCs w:val="24"/>
          <w:vertAlign w:val="subscript"/>
        </w:rPr>
        <w:t>3</w:t>
      </w:r>
      <w:r w:rsidRPr="00554363">
        <w:rPr>
          <w:rFonts w:ascii="Arial" w:hAnsi="Arial" w:cs="Arial"/>
          <w:sz w:val="24"/>
          <w:szCs w:val="24"/>
        </w:rPr>
        <w:t>, SO</w:t>
      </w:r>
      <w:r w:rsidRPr="00BE5883">
        <w:rPr>
          <w:rFonts w:ascii="Arial" w:hAnsi="Arial" w:cs="Arial"/>
          <w:sz w:val="24"/>
          <w:szCs w:val="24"/>
          <w:vertAlign w:val="subscript"/>
        </w:rPr>
        <w:t>2</w:t>
      </w:r>
      <w:r w:rsidRPr="00554363">
        <w:rPr>
          <w:rFonts w:ascii="Arial" w:hAnsi="Arial" w:cs="Arial"/>
          <w:sz w:val="24"/>
          <w:szCs w:val="24"/>
        </w:rPr>
        <w:t xml:space="preserve"> und NO</w:t>
      </w:r>
      <w:r w:rsidRPr="00995B9D">
        <w:rPr>
          <w:rFonts w:ascii="Arial" w:hAnsi="Arial" w:cs="Arial"/>
          <w:sz w:val="24"/>
          <w:szCs w:val="24"/>
          <w:vertAlign w:val="subscript"/>
        </w:rPr>
        <w:t>X</w:t>
      </w:r>
      <w:r w:rsidRPr="00554363">
        <w:rPr>
          <w:rFonts w:ascii="Arial" w:hAnsi="Arial" w:cs="Arial"/>
          <w:sz w:val="24"/>
          <w:szCs w:val="24"/>
        </w:rPr>
        <w:t>, Anreicherung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von persistenten Pestiziden in der Nahrungskette).</w:t>
      </w:r>
    </w:p>
    <w:p w:rsidR="00554363" w:rsidRPr="00554363" w:rsidRDefault="00554363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4363">
        <w:rPr>
          <w:rFonts w:ascii="Arial" w:hAnsi="Arial" w:cs="Arial"/>
          <w:sz w:val="24"/>
          <w:szCs w:val="24"/>
        </w:rPr>
        <w:t>Die weltweiten Auswirkungen der anthropogenen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Verstärkung des Treibhauseffekts durch die Emission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klimawirksamer Gase (CO</w:t>
      </w:r>
      <w:r w:rsidRPr="00BE5883">
        <w:rPr>
          <w:rFonts w:ascii="Arial" w:hAnsi="Arial" w:cs="Arial"/>
          <w:sz w:val="24"/>
          <w:szCs w:val="24"/>
          <w:vertAlign w:val="subscript"/>
        </w:rPr>
        <w:t>2</w:t>
      </w:r>
      <w:r w:rsidRPr="00554363">
        <w:rPr>
          <w:rFonts w:ascii="Arial" w:hAnsi="Arial" w:cs="Arial"/>
          <w:sz w:val="24"/>
          <w:szCs w:val="24"/>
        </w:rPr>
        <w:t>, CH</w:t>
      </w:r>
      <w:r w:rsidRPr="00BE5883">
        <w:rPr>
          <w:rFonts w:ascii="Arial" w:hAnsi="Arial" w:cs="Arial"/>
          <w:sz w:val="24"/>
          <w:szCs w:val="24"/>
          <w:vertAlign w:val="subscript"/>
        </w:rPr>
        <w:t>4</w:t>
      </w:r>
      <w:r w:rsidRPr="00554363">
        <w:rPr>
          <w:rFonts w:ascii="Arial" w:hAnsi="Arial" w:cs="Arial"/>
          <w:sz w:val="24"/>
          <w:szCs w:val="24"/>
        </w:rPr>
        <w:t xml:space="preserve"> etc.) sind ein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Beispiel für das Wirken des Syndroms. Die Veränderung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der chemischen Zusammensetzung der Erdatmosphäre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(vor allem durch die Verwendung fossiler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Energie) ist mengenmäßig zwar nur geringfügig,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hat aber für die Strahlungsbilanz der Erde und somit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für das globale Klima erhebliche Konsequenzen.</w:t>
      </w:r>
    </w:p>
    <w:p w:rsidR="00554363" w:rsidRPr="00554363" w:rsidRDefault="00554363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54363">
        <w:rPr>
          <w:rFonts w:ascii="Arial" w:hAnsi="Arial" w:cs="Arial"/>
          <w:sz w:val="24"/>
          <w:szCs w:val="24"/>
        </w:rPr>
        <w:t>Ein ähnlicher Fall liegt bei der Problematik der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Ausdünnung der stratosphärischen Ozonschicht vor: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Eine mengenmäßig geringe Emission hoch wirksamer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Stoffe (z.B. FCKW) bedeutet einen unerwartet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starken, von der Größenordnung her überraschenden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Eingriff in atmosphärenchemische Prozesse, was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eine verstärkte Einstrahlung von UV-B und damit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vielfältige Gefahren für die Gesundheit der Menschen</w:t>
      </w:r>
      <w:r w:rsidR="00BE5883">
        <w:rPr>
          <w:rFonts w:ascii="Arial" w:hAnsi="Arial" w:cs="Arial"/>
          <w:sz w:val="24"/>
          <w:szCs w:val="24"/>
        </w:rPr>
        <w:t xml:space="preserve"> </w:t>
      </w:r>
      <w:r w:rsidRPr="00554363">
        <w:rPr>
          <w:rFonts w:ascii="Arial" w:hAnsi="Arial" w:cs="Arial"/>
          <w:sz w:val="24"/>
          <w:szCs w:val="24"/>
        </w:rPr>
        <w:t>und für die Ökosysteme nach sich zieht.</w:t>
      </w:r>
    </w:p>
    <w:p w:rsidR="009D0A30" w:rsidRPr="001B43E5" w:rsidRDefault="00BE5883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 Prozess</w:t>
      </w:r>
      <w:r w:rsidR="00554363" w:rsidRPr="00554363">
        <w:rPr>
          <w:rFonts w:ascii="Arial" w:hAnsi="Arial" w:cs="Arial"/>
          <w:sz w:val="24"/>
          <w:szCs w:val="24"/>
        </w:rPr>
        <w:t xml:space="preserve"> der Versauerung von Böden wird das</w:t>
      </w:r>
      <w:r>
        <w:rPr>
          <w:rFonts w:ascii="Arial" w:hAnsi="Arial" w:cs="Arial"/>
          <w:sz w:val="24"/>
          <w:szCs w:val="24"/>
        </w:rPr>
        <w:t xml:space="preserve"> </w:t>
      </w:r>
      <w:r w:rsidR="00554363" w:rsidRPr="00554363">
        <w:rPr>
          <w:rFonts w:ascii="Arial" w:hAnsi="Arial" w:cs="Arial"/>
          <w:sz w:val="24"/>
          <w:szCs w:val="24"/>
        </w:rPr>
        <w:t>Syndrom ebenfalls deutlich: Die Emission der Säurebildner</w:t>
      </w:r>
      <w:r>
        <w:rPr>
          <w:rFonts w:ascii="Arial" w:hAnsi="Arial" w:cs="Arial"/>
          <w:sz w:val="24"/>
          <w:szCs w:val="24"/>
        </w:rPr>
        <w:t xml:space="preserve"> </w:t>
      </w:r>
      <w:r w:rsidR="00554363" w:rsidRPr="00554363">
        <w:rPr>
          <w:rFonts w:ascii="Arial" w:hAnsi="Arial" w:cs="Arial"/>
          <w:sz w:val="24"/>
          <w:szCs w:val="24"/>
        </w:rPr>
        <w:t>SO</w:t>
      </w:r>
      <w:r w:rsidR="00554363" w:rsidRPr="00995B9D">
        <w:rPr>
          <w:rFonts w:ascii="Arial" w:hAnsi="Arial" w:cs="Arial"/>
          <w:sz w:val="24"/>
          <w:szCs w:val="24"/>
          <w:vertAlign w:val="subscript"/>
        </w:rPr>
        <w:t>2</w:t>
      </w:r>
      <w:r w:rsidR="00554363" w:rsidRPr="00554363">
        <w:rPr>
          <w:rFonts w:ascii="Arial" w:hAnsi="Arial" w:cs="Arial"/>
          <w:sz w:val="24"/>
          <w:szCs w:val="24"/>
        </w:rPr>
        <w:t xml:space="preserve"> und NO</w:t>
      </w:r>
      <w:r w:rsidR="00554363" w:rsidRPr="00995B9D">
        <w:rPr>
          <w:rFonts w:ascii="Arial" w:hAnsi="Arial" w:cs="Arial"/>
          <w:sz w:val="24"/>
          <w:szCs w:val="24"/>
          <w:vertAlign w:val="subscript"/>
        </w:rPr>
        <w:t>X</w:t>
      </w:r>
      <w:r w:rsidR="00554363" w:rsidRPr="00554363">
        <w:rPr>
          <w:rFonts w:ascii="Arial" w:hAnsi="Arial" w:cs="Arial"/>
          <w:sz w:val="24"/>
          <w:szCs w:val="24"/>
        </w:rPr>
        <w:t>, vor allem aus Energiewirtschaft</w:t>
      </w:r>
      <w:r>
        <w:rPr>
          <w:rFonts w:ascii="Arial" w:hAnsi="Arial" w:cs="Arial"/>
          <w:sz w:val="24"/>
          <w:szCs w:val="24"/>
        </w:rPr>
        <w:t xml:space="preserve"> </w:t>
      </w:r>
      <w:r w:rsidR="00554363" w:rsidRPr="00554363">
        <w:rPr>
          <w:rFonts w:ascii="Arial" w:hAnsi="Arial" w:cs="Arial"/>
          <w:sz w:val="24"/>
          <w:szCs w:val="24"/>
        </w:rPr>
        <w:t>und Verkehr, führt zu erhöhtem Eintrag von</w:t>
      </w:r>
      <w:r>
        <w:rPr>
          <w:rFonts w:ascii="Arial" w:hAnsi="Arial" w:cs="Arial"/>
          <w:sz w:val="24"/>
          <w:szCs w:val="24"/>
        </w:rPr>
        <w:t xml:space="preserve"> </w:t>
      </w:r>
      <w:r w:rsidR="00554363" w:rsidRPr="00554363">
        <w:rPr>
          <w:rFonts w:ascii="Arial" w:hAnsi="Arial" w:cs="Arial"/>
          <w:sz w:val="24"/>
          <w:szCs w:val="24"/>
        </w:rPr>
        <w:t>Schwefel- und Salpetersäure in Ökosysteme, mit der</w:t>
      </w:r>
      <w:r>
        <w:rPr>
          <w:rFonts w:ascii="Arial" w:hAnsi="Arial" w:cs="Arial"/>
          <w:sz w:val="24"/>
          <w:szCs w:val="24"/>
        </w:rPr>
        <w:t xml:space="preserve"> </w:t>
      </w:r>
      <w:r w:rsidR="00554363" w:rsidRPr="00554363">
        <w:rPr>
          <w:rFonts w:ascii="Arial" w:hAnsi="Arial" w:cs="Arial"/>
          <w:sz w:val="24"/>
          <w:szCs w:val="24"/>
        </w:rPr>
        <w:t xml:space="preserve">Folge der Versauerung der Böden. </w:t>
      </w:r>
      <w:r w:rsidR="00554363" w:rsidRPr="00D61B58">
        <w:rPr>
          <w:rFonts w:ascii="Arial" w:hAnsi="Arial" w:cs="Arial"/>
          <w:sz w:val="24"/>
          <w:szCs w:val="24"/>
        </w:rPr>
        <w:t>Diese Vorgänge</w:t>
      </w:r>
      <w:r w:rsidRPr="00D61B58">
        <w:rPr>
          <w:rFonts w:ascii="Arial" w:hAnsi="Arial" w:cs="Arial"/>
          <w:sz w:val="24"/>
          <w:szCs w:val="24"/>
        </w:rPr>
        <w:t xml:space="preserve"> </w:t>
      </w:r>
      <w:r w:rsidR="00D61B58" w:rsidRPr="00D61B58">
        <w:rPr>
          <w:rFonts w:ascii="Arial" w:hAnsi="Arial" w:cs="Arial"/>
          <w:sz w:val="24"/>
          <w:szCs w:val="24"/>
        </w:rPr>
        <w:t>sind eine Hauptursache für die Neuartigen Waldschäden</w:t>
      </w:r>
      <w:r w:rsidR="00D61B58">
        <w:rPr>
          <w:rFonts w:ascii="Arial" w:hAnsi="Arial" w:cs="Arial"/>
          <w:sz w:val="24"/>
          <w:szCs w:val="24"/>
        </w:rPr>
        <w:t xml:space="preserve"> </w:t>
      </w:r>
      <w:r w:rsidR="00D61B58" w:rsidRPr="00D61B58">
        <w:rPr>
          <w:rFonts w:ascii="Arial" w:hAnsi="Arial" w:cs="Arial"/>
          <w:sz w:val="24"/>
          <w:szCs w:val="24"/>
        </w:rPr>
        <w:t>in Mitteleuropa.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Säuren und Säurebildner bewirken im Boden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Nährstoffverluste durch verstärkte Auswaschprozesse und die Freisetzung von ökotoxisch wirkenden Stoffen. Die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Zufuhr der säurebildenden Nährstoffe Ammonium und Nitrat trägt zudem zur Eutrophierung durch ein Stickstoffüberangebot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 xml:space="preserve">bei. Eine Reihe von Schwermetallen und organischen Industriechemikalien wirkt </w:t>
      </w:r>
      <w:r w:rsidR="009D0A30" w:rsidRPr="001B43E5">
        <w:rPr>
          <w:rFonts w:ascii="Arial" w:hAnsi="Arial" w:cs="Arial"/>
          <w:sz w:val="24"/>
          <w:szCs w:val="24"/>
        </w:rPr>
        <w:lastRenderedPageBreak/>
        <w:t>ebenfalls ökotoxisch,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allerdings ist ihre spezifische Wirkungsweise häufig nicht bekannt.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Die Bodenversauerung betrifft heute vor allem weite Bereiche Europas, Nordamerikas und Nord- und Südchinas. Besonders neuralgische Böden sind jene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 xml:space="preserve"> mit geringer Pufferkapazität. Regionen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mit robusten Böden oder hohem Mineralstaubanteil sind weniger gefährdet (letztere liegen vor allem im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Windschatten von Trockengebieten und Wüsten). Böden mit geringen Belastbarkeiten sind in Nord-Ru</w:t>
      </w:r>
      <w:r w:rsidR="009D0A30">
        <w:rPr>
          <w:rFonts w:ascii="Arial" w:hAnsi="Arial" w:cs="Arial"/>
          <w:sz w:val="24"/>
          <w:szCs w:val="24"/>
        </w:rPr>
        <w:t>ss</w:t>
      </w:r>
      <w:r w:rsidR="009D0A30" w:rsidRPr="001B43E5">
        <w:rPr>
          <w:rFonts w:ascii="Arial" w:hAnsi="Arial" w:cs="Arial"/>
          <w:sz w:val="24"/>
          <w:szCs w:val="24"/>
        </w:rPr>
        <w:t>land, Kanada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 xml:space="preserve">und Alaska, dem nördlichen Südamerika (ohne </w:t>
      </w:r>
      <w:proofErr w:type="spellStart"/>
      <w:r w:rsidR="009D0A30" w:rsidRPr="001B43E5">
        <w:rPr>
          <w:rFonts w:ascii="Arial" w:hAnsi="Arial" w:cs="Arial"/>
          <w:sz w:val="24"/>
          <w:szCs w:val="24"/>
        </w:rPr>
        <w:t>Andenregion</w:t>
      </w:r>
      <w:proofErr w:type="spellEnd"/>
      <w:r w:rsidR="009D0A30" w:rsidRPr="001B43E5">
        <w:rPr>
          <w:rFonts w:ascii="Arial" w:hAnsi="Arial" w:cs="Arial"/>
          <w:sz w:val="24"/>
          <w:szCs w:val="24"/>
        </w:rPr>
        <w:t>), den west- und südwestafrikanischen Küstenregionen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und dem Kongobecken, in Südwestindien und in großen Teilen Indochinas und des indonesischen Archipels zu</w:t>
      </w:r>
      <w:r w:rsidR="009D0A30">
        <w:rPr>
          <w:rFonts w:ascii="Arial" w:hAnsi="Arial" w:cs="Arial"/>
          <w:sz w:val="24"/>
          <w:szCs w:val="24"/>
        </w:rPr>
        <w:t xml:space="preserve"> finden</w:t>
      </w:r>
      <w:r w:rsidR="009D0A30" w:rsidRPr="001B43E5">
        <w:rPr>
          <w:rFonts w:ascii="Arial" w:hAnsi="Arial" w:cs="Arial"/>
          <w:sz w:val="24"/>
          <w:szCs w:val="24"/>
        </w:rPr>
        <w:t>. Für viele dieser Regionen wird ein starkes wirtschaftliches Wachstum in naher Zukunft, mit</w:t>
      </w:r>
      <w:r w:rsidR="009D0A30">
        <w:rPr>
          <w:rFonts w:ascii="Arial" w:hAnsi="Arial" w:cs="Arial"/>
          <w:sz w:val="24"/>
          <w:szCs w:val="24"/>
        </w:rPr>
        <w:t xml:space="preserve"> </w:t>
      </w:r>
      <w:r w:rsidR="009D0A30" w:rsidRPr="001B43E5">
        <w:rPr>
          <w:rFonts w:ascii="Arial" w:hAnsi="Arial" w:cs="Arial"/>
          <w:sz w:val="24"/>
          <w:szCs w:val="24"/>
        </w:rPr>
        <w:t>den entsprechenden Implikationen für die Intensivierung der Stoffströme, prognostiziert.</w:t>
      </w:r>
    </w:p>
    <w:p w:rsidR="009D0A30" w:rsidRPr="001B43E5" w:rsidRDefault="009D0A30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B43E5">
        <w:rPr>
          <w:rFonts w:ascii="Arial" w:hAnsi="Arial" w:cs="Arial"/>
          <w:sz w:val="24"/>
          <w:szCs w:val="24"/>
        </w:rPr>
        <w:t>Aufgrund der Pufferkapazität der Böden (und Gewässer) ist der Umfang der Schäden noch nicht in vollem Umfang zu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erkennen. Die ökotoxische Wirkung der meisten Industriechemikalien und auch einiger Schwermetalle (einschließlich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der Synergismen mehrerer Substanzen) ist nicht bekannt. Deswegen und im Hinblick auf die zu erwartende plötzliche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 xml:space="preserve">Freisetzung der Frachten bei Erreichen von Schwellenwerten </w:t>
      </w:r>
      <w:r w:rsidRPr="001B43E5">
        <w:rPr>
          <w:rFonts w:ascii="Arial" w:hAnsi="Arial" w:cs="Arial"/>
          <w:iCs/>
          <w:sz w:val="24"/>
          <w:szCs w:val="24"/>
        </w:rPr>
        <w:t>(„chemische Zeitbomben“)</w:t>
      </w:r>
      <w:r w:rsidRPr="001B43E5">
        <w:rPr>
          <w:rFonts w:ascii="Arial" w:hAnsi="Arial" w:cs="Arial"/>
          <w:i/>
          <w:iCs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mu</w:t>
      </w:r>
      <w:r>
        <w:rPr>
          <w:rFonts w:ascii="Arial" w:hAnsi="Arial" w:cs="Arial"/>
          <w:sz w:val="24"/>
          <w:szCs w:val="24"/>
        </w:rPr>
        <w:t>ss</w:t>
      </w:r>
      <w:r w:rsidRPr="001B43E5">
        <w:rPr>
          <w:rFonts w:ascii="Arial" w:hAnsi="Arial" w:cs="Arial"/>
          <w:sz w:val="24"/>
          <w:szCs w:val="24"/>
        </w:rPr>
        <w:t xml:space="preserve"> von einer schweren Hypothek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gesprochen werden.</w:t>
      </w:r>
    </w:p>
    <w:p w:rsidR="00D61B58" w:rsidRDefault="00D61B58" w:rsidP="009D0A30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9D0A30" w:rsidRPr="001B43E5" w:rsidRDefault="009D0A30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1B43E5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1B43E5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1B43E5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9D0A30" w:rsidRPr="001B43E5" w:rsidRDefault="009D0A30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B43E5">
        <w:rPr>
          <w:rFonts w:ascii="Arial" w:hAnsi="Arial" w:cs="Arial"/>
          <w:sz w:val="24"/>
          <w:szCs w:val="24"/>
        </w:rPr>
        <w:t>Die durch den Ferntransport von Nähr- und Schadstoffen hervorgerufenen Bodendegradationen können vor allem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durch die folgenden Maßnahmen an der Quelle eingedämmt werden: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Ausnutzung der Einsparpotentiale im Energiesektor,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 xml:space="preserve"> Emissionsminderungen bei Kraftwerken mit fossilen Brennstoffen und bei Kraftfahrzeugen,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Entwicklung von Produktionstechniken mit stark reduziertem Einsatz toxischer Substanzen und verstärktem Produkt-Recycling,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Anpassung der Düngemittelgaben an Bodenqualität und Pflanzenbedarf zur Vermeidung von Emissionen (N</w:t>
      </w:r>
      <w:r w:rsidRPr="00F47F40">
        <w:rPr>
          <w:rFonts w:ascii="Arial" w:hAnsi="Arial" w:cs="Arial"/>
          <w:sz w:val="24"/>
          <w:szCs w:val="24"/>
          <w:vertAlign w:val="subscript"/>
        </w:rPr>
        <w:t>2</w:t>
      </w:r>
      <w:r w:rsidRPr="001B43E5">
        <w:rPr>
          <w:rFonts w:ascii="Arial" w:hAnsi="Arial" w:cs="Arial"/>
          <w:sz w:val="24"/>
          <w:szCs w:val="24"/>
        </w:rPr>
        <w:t>O,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NH3).</w:t>
      </w:r>
    </w:p>
    <w:p w:rsidR="009D0A30" w:rsidRDefault="009D0A30" w:rsidP="009D0A3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B43E5">
        <w:rPr>
          <w:rFonts w:ascii="Arial" w:hAnsi="Arial" w:cs="Arial"/>
          <w:sz w:val="24"/>
          <w:szCs w:val="24"/>
        </w:rPr>
        <w:t>Die bisherigen nationalen und internationalen Vereinbarungen zur Reduzierung der Emissionen müssen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 xml:space="preserve">konsequent umgesetzt werden. Dabei sollten die Anstrengungen </w:t>
      </w:r>
      <w:proofErr w:type="spellStart"/>
      <w:r w:rsidRPr="001B43E5">
        <w:rPr>
          <w:rFonts w:ascii="Arial" w:hAnsi="Arial" w:cs="Arial"/>
          <w:sz w:val="24"/>
          <w:szCs w:val="24"/>
        </w:rPr>
        <w:t>kontinentweit</w:t>
      </w:r>
      <w:proofErr w:type="spellEnd"/>
      <w:r w:rsidRPr="001B43E5">
        <w:rPr>
          <w:rFonts w:ascii="Arial" w:hAnsi="Arial" w:cs="Arial"/>
          <w:sz w:val="24"/>
          <w:szCs w:val="24"/>
        </w:rPr>
        <w:t xml:space="preserve"> besser koordiniert werden. Regelungen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für Spurenmetalle und bestimmte organische Verbindungen müssen getroffen werden. Eine wichtige länderübergreifende</w:t>
      </w:r>
      <w:r>
        <w:rPr>
          <w:rFonts w:ascii="Arial" w:hAnsi="Arial" w:cs="Arial"/>
          <w:sz w:val="24"/>
          <w:szCs w:val="24"/>
        </w:rPr>
        <w:t xml:space="preserve"> </w:t>
      </w:r>
      <w:r w:rsidRPr="001B43E5">
        <w:rPr>
          <w:rFonts w:ascii="Arial" w:hAnsi="Arial" w:cs="Arial"/>
          <w:sz w:val="24"/>
          <w:szCs w:val="24"/>
        </w:rPr>
        <w:t>Maßnahme wäre die Einführung eines internationalen Haftungsrechts.</w:t>
      </w:r>
    </w:p>
    <w:p w:rsidR="000D58C5" w:rsidRDefault="000D58C5" w:rsidP="000D58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D58C5" w:rsidRDefault="000D58C5" w:rsidP="000D58C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1996)</w:t>
      </w:r>
    </w:p>
    <w:p w:rsidR="00D61B58" w:rsidRPr="00D61B58" w:rsidRDefault="00D61B58" w:rsidP="00D61B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D61B58" w:rsidRPr="00D61B58" w:rsidSect="00093B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4363"/>
    <w:rsid w:val="00093B47"/>
    <w:rsid w:val="000D58C5"/>
    <w:rsid w:val="002F42B0"/>
    <w:rsid w:val="00554363"/>
    <w:rsid w:val="00566633"/>
    <w:rsid w:val="00883193"/>
    <w:rsid w:val="00995B9D"/>
    <w:rsid w:val="009D0A30"/>
    <w:rsid w:val="00BE5883"/>
    <w:rsid w:val="00D6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3B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7</cp:revision>
  <dcterms:created xsi:type="dcterms:W3CDTF">2012-08-15T18:05:00Z</dcterms:created>
  <dcterms:modified xsi:type="dcterms:W3CDTF">2012-09-17T13:14:00Z</dcterms:modified>
</cp:coreProperties>
</file>